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ЧИТАЙТЕ ЛЕТОМ!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(список книг для летнего чтения ученикам, окончившим </w:t>
      </w:r>
      <w:r w:rsidRPr="00000000" w:rsidR="00000000" w:rsidDel="00000000">
        <w:rPr>
          <w:sz w:val="24"/>
          <w:rtl w:val="0"/>
        </w:rPr>
        <w:t xml:space="preserve">10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класс)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И. А. Бунин. </w:t>
      </w:r>
      <w:r w:rsidRPr="00000000" w:rsidR="00000000" w:rsidDel="00000000">
        <w:rPr>
          <w:sz w:val="24"/>
          <w:highlight w:val="white"/>
          <w:rtl w:val="0"/>
        </w:rPr>
        <w:t xml:space="preserve">«Антоновские яблоки». «Легкое дыхание». «Сны Чанга». «Темные аллеи». «Господин из Сан-Франциско»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А. И. Куприн.</w:t>
      </w:r>
      <w:r w:rsidRPr="00000000" w:rsidR="00000000" w:rsidDel="00000000">
        <w:rPr>
          <w:sz w:val="24"/>
          <w:highlight w:val="white"/>
          <w:rtl w:val="0"/>
        </w:rPr>
        <w:t xml:space="preserve"> «Поединок», «Гранатовый браслет»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Л. Андреев.</w:t>
      </w:r>
      <w:r w:rsidRPr="00000000" w:rsidR="00000000" w:rsidDel="00000000">
        <w:rPr>
          <w:sz w:val="24"/>
          <w:rtl w:val="0"/>
        </w:rPr>
        <w:t xml:space="preserve"> «Бергамот и Гараська»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А. М. Горький.</w:t>
      </w:r>
      <w:r w:rsidRPr="00000000" w:rsidR="00000000" w:rsidDel="00000000">
        <w:rPr>
          <w:sz w:val="24"/>
          <w:rtl w:val="0"/>
        </w:rPr>
        <w:t xml:space="preserve"> «Челкаш», «Старуха Изергиль», «Макар Чудра», </w:t>
      </w:r>
      <w:r w:rsidRPr="00000000" w:rsidR="00000000" w:rsidDel="00000000">
        <w:rPr>
          <w:sz w:val="28"/>
          <w:rtl w:val="0"/>
        </w:rPr>
        <w:t xml:space="preserve">«На дне»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А.А. Блок.</w:t>
      </w:r>
      <w:r w:rsidRPr="00000000" w:rsidR="00000000" w:rsidDel="00000000">
        <w:rPr>
          <w:sz w:val="24"/>
          <w:rtl w:val="0"/>
        </w:rPr>
        <w:t xml:space="preserve"> Стихотворения. Поэма. «Двенадцать»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С. А. Есенин.</w:t>
      </w:r>
      <w:r w:rsidRPr="00000000" w:rsidR="00000000" w:rsidDel="00000000">
        <w:rPr>
          <w:sz w:val="24"/>
          <w:rtl w:val="0"/>
        </w:rPr>
        <w:t xml:space="preserve"> Стихотворения.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В.В. Маяковский.</w:t>
      </w:r>
      <w:r w:rsidRPr="00000000" w:rsidR="00000000" w:rsidDel="00000000">
        <w:rPr>
          <w:sz w:val="24"/>
          <w:rtl w:val="0"/>
        </w:rPr>
        <w:t xml:space="preserve"> Стихотворения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right="13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А.А. Фадеев.</w:t>
      </w:r>
      <w:r w:rsidRPr="00000000" w:rsidR="00000000" w:rsidDel="00000000">
        <w:rPr>
          <w:sz w:val="24"/>
          <w:highlight w:val="white"/>
          <w:rtl w:val="0"/>
        </w:rPr>
        <w:t xml:space="preserve"> «Разгром»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right="13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М. А. Булгаков.</w:t>
      </w:r>
      <w:r w:rsidRPr="00000000" w:rsidR="00000000" w:rsidDel="00000000">
        <w:rPr>
          <w:sz w:val="24"/>
          <w:highlight w:val="white"/>
          <w:rtl w:val="0"/>
        </w:rPr>
        <w:t xml:space="preserve"> «Собачье сердце», «Мастер и Маргарита», рассказы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А. Ахматова.</w:t>
      </w:r>
      <w:r w:rsidRPr="00000000" w:rsidR="00000000" w:rsidDel="00000000">
        <w:rPr>
          <w:sz w:val="24"/>
          <w:rtl w:val="0"/>
        </w:rPr>
        <w:t xml:space="preserve"> Стихотворения.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М.А. Шолохов.</w:t>
      </w:r>
      <w:r w:rsidRPr="00000000" w:rsidR="00000000" w:rsidDel="00000000">
        <w:rPr>
          <w:sz w:val="24"/>
          <w:rtl w:val="0"/>
        </w:rPr>
        <w:t xml:space="preserve"> «Тихий Дон»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Пастернак.</w:t>
      </w:r>
      <w:r w:rsidRPr="00000000" w:rsidR="00000000" w:rsidDel="00000000">
        <w:rPr>
          <w:sz w:val="24"/>
          <w:rtl w:val="0"/>
        </w:rPr>
        <w:t xml:space="preserve"> «Доктор Живаго»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В. Быков.</w:t>
      </w:r>
      <w:r w:rsidRPr="00000000" w:rsidR="00000000" w:rsidDel="00000000">
        <w:rPr>
          <w:sz w:val="24"/>
          <w:rtl w:val="0"/>
        </w:rPr>
        <w:t xml:space="preserve"> «Сотников», «Карьер»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В. Распутин.</w:t>
      </w:r>
      <w:r w:rsidRPr="00000000" w:rsidR="00000000" w:rsidDel="00000000">
        <w:rPr>
          <w:sz w:val="24"/>
          <w:highlight w:val="white"/>
          <w:rtl w:val="0"/>
        </w:rPr>
        <w:t xml:space="preserve"> «Живи и помни». «Прощание с Матёрой»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А.И. Солженицын.</w:t>
      </w:r>
      <w:r w:rsidRPr="00000000" w:rsidR="00000000" w:rsidDel="00000000">
        <w:rPr>
          <w:sz w:val="24"/>
          <w:highlight w:val="white"/>
          <w:rtl w:val="0"/>
        </w:rPr>
        <w:t xml:space="preserve">  «Один день Ивана Денисовича», «Матренин двор», «Архипелаг ГУЛАГ»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В. Шукшин.</w:t>
      </w:r>
      <w:r w:rsidRPr="00000000" w:rsidR="00000000" w:rsidDel="00000000">
        <w:rPr>
          <w:sz w:val="24"/>
          <w:rtl w:val="0"/>
        </w:rPr>
        <w:t xml:space="preserve"> Рассказы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20"/>
        <w:ind w:left="720" w:hanging="359"/>
        <w:contextualSpacing w:val="1"/>
        <w:rPr>
          <w:highlight w:val="white"/>
        </w:rPr>
      </w:pPr>
      <w:r w:rsidRPr="00000000" w:rsidR="00000000" w:rsidDel="00000000">
        <w:rPr>
          <w:b w:val="1"/>
          <w:sz w:val="24"/>
          <w:rtl w:val="0"/>
        </w:rPr>
        <w:t xml:space="preserve">И. Бродский.</w:t>
      </w:r>
      <w:r w:rsidRPr="00000000" w:rsidR="00000000" w:rsidDel="00000000">
        <w:rPr>
          <w:sz w:val="24"/>
          <w:rtl w:val="0"/>
        </w:rPr>
        <w:t xml:space="preserve"> Стихотворения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ind w:left="284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ind w:left="284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Смотрите экранизации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rtl w:val="0"/>
          </w:rPr>
        </w:r>
      </w:hyperlink>
    </w:p>
    <w:sectPr>
      <w:headerReference r:id="rId6" w:type="default"/>
      <w:footerReference r:id="rId7" w:type="default"/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77"/>
        <w:tab w:val="right" w:pos="9355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1"/>
        <w:sz w:val="18"/>
        <w:rtl w:val="0"/>
      </w:rPr>
      <w:t xml:space="preserve">Г.С.Зинченко </w:t>
      <w:tab/>
      <w:t xml:space="preserve">МЭЛ</w:t>
      <w:tab/>
      <w:t xml:space="preserve">2013-2014уч.год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77"/>
        <w:tab w:val="right" w:pos="9355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1"/>
        <w:sz w:val="18"/>
        <w:rtl w:val="0"/>
      </w:rPr>
      <w:t xml:space="preserve">Список книг для летнего чтения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keepNext w:val="0"/>
      <w:keepLines w:val="0"/>
      <w:widowControl w:val="0"/>
      <w:spacing w:lineRule="auto" w:after="20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://www.cinema.mosfilm.ru/Film.aspx?id=0242296a-6fdc-4b62-a39b-070be4a05c66" Type="http://schemas.openxmlformats.org/officeDocument/2006/relationships/hyperlink" TargetMode="External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список_для 11 класса.docx</dc:title>
</cp:coreProperties>
</file>